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ЗАОЧНОГО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22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</w:t>
      </w:r>
      <w:r>
        <w:rPr>
          <w:rFonts w:ascii="Times New Roman" w:eastAsia="Times New Roman" w:hAnsi="Times New Roman" w:cs="Times New Roman"/>
        </w:rPr>
        <w:t>района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</w:t>
      </w:r>
      <w:r>
        <w:rPr>
          <w:rFonts w:ascii="Times New Roman" w:eastAsia="Times New Roman" w:hAnsi="Times New Roman" w:cs="Times New Roman"/>
        </w:rPr>
        <w:t xml:space="preserve">-Мансийского автономного округа – Югры Новокшенова О.А.,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секретаре Захарченко К.А.,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 xml:space="preserve">ООО «Феникс» к </w:t>
      </w:r>
      <w:r>
        <w:rPr>
          <w:rFonts w:ascii="Times New Roman" w:eastAsia="Times New Roman" w:hAnsi="Times New Roman" w:cs="Times New Roman"/>
        </w:rPr>
        <w:t>Кандаляну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задолженности,</w:t>
      </w:r>
    </w:p>
    <w:p>
      <w:pPr>
        <w:spacing w:before="0" w:after="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РЕШИЛ:</w:t>
      </w:r>
    </w:p>
    <w:p>
      <w:pPr>
        <w:spacing w:before="0" w:after="0"/>
        <w:ind w:firstLine="567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Исковые требования ООО «Феникс» к </w:t>
      </w:r>
      <w:r>
        <w:rPr>
          <w:rFonts w:ascii="Times New Roman" w:eastAsia="Times New Roman" w:hAnsi="Times New Roman" w:cs="Times New Roman"/>
        </w:rPr>
        <w:t>Кандаляну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Кандаляна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 в пользу ООО «</w:t>
      </w:r>
      <w:r>
        <w:rPr>
          <w:rFonts w:ascii="Times New Roman" w:eastAsia="Times New Roman" w:hAnsi="Times New Roman" w:cs="Times New Roman"/>
        </w:rPr>
        <w:t>Феникс»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12590</w:t>
      </w:r>
      <w:r>
        <w:rPr>
          <w:rFonts w:ascii="Times New Roman" w:eastAsia="Times New Roman" w:hAnsi="Times New Roman" w:cs="Times New Roman"/>
        </w:rPr>
        <w:t>,88</w:t>
      </w:r>
      <w:r>
        <w:rPr>
          <w:rFonts w:ascii="Times New Roman" w:eastAsia="Times New Roman" w:hAnsi="Times New Roman" w:cs="Times New Roman"/>
        </w:rPr>
        <w:t xml:space="preserve"> руб. - в счет задолженности, </w:t>
      </w:r>
      <w:r>
        <w:rPr>
          <w:rFonts w:ascii="Times New Roman" w:eastAsia="Times New Roman" w:hAnsi="Times New Roman" w:cs="Times New Roman"/>
        </w:rPr>
        <w:t>503,64</w:t>
      </w:r>
      <w:r>
        <w:rPr>
          <w:rFonts w:ascii="Times New Roman" w:eastAsia="Times New Roman" w:hAnsi="Times New Roman" w:cs="Times New Roman"/>
        </w:rPr>
        <w:t xml:space="preserve"> руб. - в возмещение расходов по уплате государственной пошлины.</w:t>
      </w:r>
    </w:p>
    <w:p>
      <w:pPr>
        <w:spacing w:before="0" w:after="0"/>
        <w:ind w:firstLine="283"/>
        <w:jc w:val="both"/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Настоящее решение может быть обжаловано в </w:t>
      </w:r>
      <w:r>
        <w:rPr>
          <w:rFonts w:ascii="Times New Roman" w:eastAsia="Times New Roman" w:hAnsi="Times New Roman" w:cs="Times New Roman"/>
        </w:rPr>
        <w:t>апелляционном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порядке</w:t>
      </w:r>
      <w:r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Ханты-Мансийский 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 через мирового судью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120"/>
        <w:ind w:left="283" w:hanging="283"/>
        <w:jc w:val="both"/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судебного участка № 2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Ханты-Мансийского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О.А. Новокшенова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5rplc-14">
    <w:name w:val="cat-UserDefined grp-1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